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BA" w:rsidRPr="00317FCD" w:rsidRDefault="006C4652" w:rsidP="00317FCD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30</w:t>
      </w:r>
      <w:bookmarkStart w:id="0" w:name="_GoBack"/>
      <w:bookmarkEnd w:id="0"/>
      <w:r w:rsidR="00317FCD" w:rsidRPr="00317FCD">
        <w:rPr>
          <w:b w:val="0"/>
          <w:i/>
          <w:sz w:val="24"/>
        </w:rPr>
        <w:t xml:space="preserve"> мая</w:t>
      </w:r>
      <w:r w:rsidR="00317FCD">
        <w:rPr>
          <w:b w:val="0"/>
          <w:i/>
          <w:sz w:val="24"/>
        </w:rPr>
        <w:t xml:space="preserve"> 2023 года</w:t>
      </w:r>
    </w:p>
    <w:p w:rsidR="00B714BA" w:rsidRDefault="00B714BA">
      <w:pPr>
        <w:pStyle w:val="a3"/>
        <w:tabs>
          <w:tab w:val="left" w:pos="6521"/>
        </w:tabs>
      </w:pPr>
    </w:p>
    <w:p w:rsidR="00B714BA" w:rsidRDefault="00317FCD">
      <w:pPr>
        <w:pStyle w:val="a3"/>
        <w:tabs>
          <w:tab w:val="left" w:pos="6521"/>
        </w:tabs>
      </w:pPr>
      <w:r>
        <w:t xml:space="preserve">Г Р А Ф И К </w:t>
      </w:r>
    </w:p>
    <w:p w:rsidR="00B714BA" w:rsidRDefault="00317FC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B714BA" w:rsidRDefault="00317FCD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мае 2023 года </w:t>
      </w:r>
    </w:p>
    <w:p w:rsidR="00B714BA" w:rsidRDefault="00B714BA">
      <w:pPr>
        <w:tabs>
          <w:tab w:val="left" w:pos="6840"/>
        </w:tabs>
        <w:ind w:right="-576"/>
        <w:jc w:val="center"/>
        <w:rPr>
          <w:b/>
        </w:rPr>
      </w:pPr>
    </w:p>
    <w:p w:rsidR="00B714BA" w:rsidRDefault="00B714BA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B714B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4BA" w:rsidRDefault="00B714BA">
            <w:pPr>
              <w:jc w:val="center"/>
              <w:rPr>
                <w:b/>
                <w:sz w:val="24"/>
              </w:rPr>
            </w:pPr>
          </w:p>
          <w:p w:rsidR="00B714BA" w:rsidRDefault="00317F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714BA" w:rsidRDefault="00317FCD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B714B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714BA" w:rsidRDefault="00317FC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B714BA">
            <w:pPr>
              <w:jc w:val="center"/>
              <w:rPr>
                <w:b/>
                <w:sz w:val="22"/>
                <w:szCs w:val="22"/>
              </w:rPr>
            </w:pPr>
          </w:p>
          <w:p w:rsidR="00B714BA" w:rsidRDefault="00317F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4BA" w:rsidRDefault="00317F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B714BA" w:rsidRDefault="00317F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B714BA">
            <w:pPr>
              <w:jc w:val="center"/>
              <w:rPr>
                <w:b/>
                <w:sz w:val="22"/>
                <w:szCs w:val="22"/>
              </w:rPr>
            </w:pPr>
          </w:p>
          <w:p w:rsidR="00B714BA" w:rsidRDefault="00317F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B714BA">
            <w:pPr>
              <w:jc w:val="center"/>
              <w:rPr>
                <w:b/>
              </w:rPr>
            </w:pPr>
          </w:p>
          <w:p w:rsidR="00B714BA" w:rsidRDefault="00317FCD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714B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</w:t>
            </w:r>
          </w:p>
          <w:p w:rsidR="00B714BA" w:rsidRDefault="00B71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6E9" w:rsidRDefault="00C916E9" w:rsidP="00C916E9">
            <w:pPr>
              <w:ind w:firstLine="317"/>
              <w:jc w:val="both"/>
              <w:rPr>
                <w:szCs w:val="28"/>
              </w:rPr>
            </w:pPr>
            <w:bookmarkStart w:id="1" w:name="_Hlk127778145"/>
            <w:r>
              <w:rPr>
                <w:szCs w:val="28"/>
              </w:rPr>
              <w:t xml:space="preserve">1. О проекте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Бологовский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                      (1 и 2 чтения).</w:t>
            </w:r>
          </w:p>
          <w:p w:rsidR="00C916E9" w:rsidRDefault="00C916E9" w:rsidP="00C916E9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Глава муниципального образования «Бологовский район» Тверской области.</w:t>
            </w:r>
          </w:p>
          <w:p w:rsidR="00C916E9" w:rsidRPr="00C916E9" w:rsidRDefault="00C916E9" w:rsidP="00C916E9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 w:rsidRPr="00C916E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2. О проекте закона </w:t>
            </w:r>
            <w:r w:rsidRPr="00C916E9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Pr="00C916E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«О внесении изменений в закон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области»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       </w:t>
            </w:r>
            <w:r w:rsidRPr="00C916E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(1 и 2 чтения).</w:t>
            </w:r>
          </w:p>
          <w:p w:rsidR="00C916E9" w:rsidRPr="00C916E9" w:rsidRDefault="00C916E9" w:rsidP="00C916E9">
            <w:pPr>
              <w:ind w:firstLine="317"/>
              <w:jc w:val="both"/>
              <w:rPr>
                <w:bCs/>
                <w:szCs w:val="28"/>
              </w:rPr>
            </w:pPr>
            <w:r w:rsidRPr="00C916E9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C916E9" w:rsidRDefault="00C916E9" w:rsidP="00C916E9">
            <w:pPr>
              <w:pStyle w:val="ConsPlusTitle"/>
              <w:ind w:firstLine="317"/>
              <w:jc w:val="both"/>
              <w:rPr>
                <w:rFonts w:eastAsia="Calibri"/>
                <w:b w:val="0"/>
                <w:i/>
                <w:iCs/>
                <w:sz w:val="24"/>
                <w:szCs w:val="24"/>
                <w:lang w:eastAsia="en-US"/>
              </w:rPr>
            </w:pPr>
            <w:r w:rsidRPr="00C916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</w:t>
            </w:r>
            <w:r w:rsidRPr="00C916E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О докладе о результатах мониторинга правоприменения нормативных правовых актов в Законодательном Собрании Тверской области за 2022 год.</w:t>
            </w:r>
          </w:p>
          <w:bookmarkEnd w:id="1"/>
          <w:p w:rsidR="00C916E9" w:rsidRDefault="00C916E9" w:rsidP="00C916E9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4.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szCs w:val="28"/>
              </w:rPr>
              <w:t xml:space="preserve">О проекте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bookmarkStart w:id="2" w:name="_Hlk104294489"/>
            <w:r>
              <w:rPr>
                <w:szCs w:val="28"/>
              </w:rPr>
              <w:t>О внесении изменений в закон Тверской области «О порядке назначения и проведения опроса граждан в Тверской области»</w:t>
            </w:r>
            <w:bookmarkEnd w:id="2"/>
            <w:r>
              <w:rPr>
                <w:szCs w:val="28"/>
              </w:rPr>
              <w:t xml:space="preserve"> </w:t>
            </w:r>
            <w:r>
              <w:rPr>
                <w:iCs/>
                <w:szCs w:val="28"/>
              </w:rPr>
              <w:t>(1 и 2 чтения).</w:t>
            </w:r>
          </w:p>
          <w:p w:rsidR="00B714BA" w:rsidRDefault="00C916E9" w:rsidP="00C916E9">
            <w:pPr>
              <w:ind w:firstLine="317"/>
              <w:jc w:val="both"/>
              <w:rPr>
                <w:i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Вносит депутат Законодательного Собрания Тверской области </w:t>
            </w:r>
            <w:r>
              <w:rPr>
                <w:i/>
                <w:iCs/>
                <w:sz w:val="24"/>
                <w:szCs w:val="24"/>
              </w:rPr>
              <w:lastRenderedPageBreak/>
              <w:t>Клиновский А.Э.</w:t>
            </w:r>
          </w:p>
        </w:tc>
      </w:tr>
      <w:tr w:rsidR="00B714B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22.05.2023</w:t>
            </w:r>
          </w:p>
          <w:p w:rsidR="00B714BA" w:rsidRDefault="00B71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4C" w:rsidRDefault="00945C4C" w:rsidP="00945C4C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1. </w:t>
            </w:r>
            <w:r w:rsidRPr="005435D8">
              <w:t>О </w:t>
            </w:r>
            <w:r>
              <w:t>п</w:t>
            </w:r>
            <w:r w:rsidRPr="00CA1E20">
              <w:rPr>
                <w:szCs w:val="28"/>
              </w:rPr>
              <w:t>роект</w:t>
            </w:r>
            <w:r>
              <w:rPr>
                <w:szCs w:val="28"/>
              </w:rPr>
              <w:t>е</w:t>
            </w:r>
            <w:r w:rsidRPr="00CA1E20">
              <w:rPr>
                <w:szCs w:val="28"/>
              </w:rPr>
              <w:t xml:space="preserve"> закона Тверской области «</w:t>
            </w:r>
            <w:r>
              <w:t xml:space="preserve">О внесении изменений в закон Тверской области «О государственной социальной помощи в Тверской области» </w:t>
            </w:r>
            <w:r>
              <w:rPr>
                <w:szCs w:val="28"/>
              </w:rPr>
              <w:t xml:space="preserve">(1 и 2 чтения). </w:t>
            </w:r>
          </w:p>
          <w:p w:rsidR="00945C4C" w:rsidRDefault="00945C4C" w:rsidP="00945C4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</w:t>
            </w:r>
            <w:r w:rsidRPr="00D9238A">
              <w:rPr>
                <w:i/>
                <w:sz w:val="24"/>
                <w:szCs w:val="24"/>
              </w:rPr>
              <w:t xml:space="preserve"> 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D9238A">
              <w:rPr>
                <w:i/>
                <w:sz w:val="24"/>
                <w:szCs w:val="24"/>
              </w:rPr>
              <w:t xml:space="preserve"> </w:t>
            </w:r>
          </w:p>
          <w:p w:rsidR="00945C4C" w:rsidRDefault="00945C4C" w:rsidP="00945C4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5435D8">
              <w:t>О </w:t>
            </w:r>
            <w:r>
              <w:t>п</w:t>
            </w:r>
            <w:r w:rsidRPr="00CA1E20">
              <w:rPr>
                <w:szCs w:val="28"/>
              </w:rPr>
              <w:t>роект</w:t>
            </w:r>
            <w:r>
              <w:rPr>
                <w:szCs w:val="28"/>
              </w:rPr>
              <w:t>е</w:t>
            </w:r>
            <w:r w:rsidRPr="00CA1E20">
              <w:rPr>
                <w:szCs w:val="28"/>
              </w:rPr>
              <w:t xml:space="preserve"> закона Тверской области «О внесении изменений в закон Тверской области «Об организации профилактики наркомании и незаконного потребления наркотических средств и психотропных веществ в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945C4C" w:rsidRDefault="00945C4C" w:rsidP="00945C4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постоянный комитет Законодательного Собрания Тверской области по социальной политике.</w:t>
            </w:r>
          </w:p>
          <w:p w:rsidR="00945C4C" w:rsidRDefault="00945C4C" w:rsidP="00945C4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Об информации Министерства образования Тверской области «О развитии инфраструктуры и создании новых мест в дошкольных образовательных и общеобразовательных организациях». </w:t>
            </w:r>
          </w:p>
          <w:p w:rsidR="00B714BA" w:rsidRDefault="00945C4C" w:rsidP="00945C4C">
            <w:pPr>
              <w:ind w:firstLine="31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4. О докладе о результатах мониторинга правоприменения нормативных правовых актов в Законодательном Собрании Тверской области за 2022 год.</w:t>
            </w:r>
          </w:p>
        </w:tc>
      </w:tr>
      <w:tr w:rsidR="00B714B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23.03.2023</w:t>
            </w:r>
          </w:p>
          <w:p w:rsidR="00B714BA" w:rsidRDefault="00B71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 w:rsidP="00CB25DB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>
              <w:rPr>
                <w:szCs w:val="28"/>
              </w:rPr>
              <w:t>Об информации Правительства Тверской области об итогах реализации мероприятий по строительству объектов в рамках «</w:t>
            </w:r>
            <w:bookmarkStart w:id="3" w:name="_Hlk133418983"/>
            <w:r>
              <w:rPr>
                <w:szCs w:val="28"/>
              </w:rPr>
              <w:t>Адресной инвестиционной программы Тверской области</w:t>
            </w:r>
            <w:bookmarkEnd w:id="3"/>
            <w:r>
              <w:rPr>
                <w:szCs w:val="28"/>
              </w:rPr>
              <w:t>» в 2022 году и о ходе реализации «Адресной инвестиционной программы Тверской области» в 2023 году.</w:t>
            </w:r>
          </w:p>
          <w:p w:rsidR="00B714BA" w:rsidRDefault="00CB25D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7FCD">
              <w:rPr>
                <w:szCs w:val="28"/>
              </w:rPr>
              <w:t xml:space="preserve">. Об информации Министерства строительства Тверской области об итогах выполнения мероприятий региональной программы «Адресная программа Тверской области по переселению граждан из аварийного жилищного фонда на 2019 - 2023 годы» в рамках реализации национального проекта «Жилье и городская среда» в 2022 году и о ходе реализации региональной программы в 2023 году. </w:t>
            </w:r>
          </w:p>
          <w:p w:rsidR="00B714BA" w:rsidRDefault="00CB25D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17FCD">
              <w:rPr>
                <w:szCs w:val="28"/>
              </w:rPr>
              <w:t xml:space="preserve">. </w:t>
            </w:r>
            <w:r w:rsidR="00317FCD">
              <w:rPr>
                <w:bCs/>
                <w:szCs w:val="28"/>
              </w:rPr>
              <w:t xml:space="preserve">О докладе о результатах мониторинга правоприменения нормативных правовых актов в Законодательном Собрании </w:t>
            </w:r>
            <w:r w:rsidR="00317FCD">
              <w:rPr>
                <w:bCs/>
                <w:szCs w:val="28"/>
              </w:rPr>
              <w:lastRenderedPageBreak/>
              <w:t>Тверской области за 2022 год.</w:t>
            </w:r>
          </w:p>
        </w:tc>
      </w:tr>
      <w:tr w:rsidR="00B714B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24.05.2023</w:t>
            </w:r>
          </w:p>
          <w:p w:rsidR="00B714BA" w:rsidRDefault="00B71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14BA" w:rsidRDefault="003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4BA" w:rsidRDefault="00317FCD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докладе о результатах мониторинга правоприменения нормативных правовых актов в Законодательном Собрании Тверской области за 2022 год.</w:t>
            </w:r>
          </w:p>
          <w:p w:rsidR="00B714BA" w:rsidRDefault="00317FCD">
            <w:pPr>
              <w:tabs>
                <w:tab w:val="left" w:pos="709"/>
                <w:tab w:val="left" w:pos="1134"/>
              </w:tabs>
              <w:spacing w:after="120"/>
              <w:ind w:firstLine="317"/>
              <w:contextualSpacing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2. О применении специального налогового режима «Налог на профессиональный доход» на территории Тверской области.</w:t>
            </w:r>
          </w:p>
        </w:tc>
      </w:tr>
      <w:tr w:rsidR="007750B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0BB" w:rsidRDefault="007750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0BB" w:rsidRDefault="007750BB" w:rsidP="004A195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0BB" w:rsidRDefault="007750BB" w:rsidP="004A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25.05.2023</w:t>
            </w:r>
          </w:p>
          <w:p w:rsidR="007750BB" w:rsidRDefault="007750BB" w:rsidP="004A1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0BB" w:rsidRDefault="007750BB" w:rsidP="006D5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0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0BB" w:rsidRDefault="007750BB" w:rsidP="004A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750BB" w:rsidRDefault="007750BB" w:rsidP="004A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750BB" w:rsidRDefault="007750BB" w:rsidP="004A1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750BB" w:rsidRDefault="007750BB" w:rsidP="006D5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6D50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0BB" w:rsidRDefault="007750BB" w:rsidP="007750BB">
            <w:pPr>
              <w:shd w:val="clear" w:color="auto" w:fill="FFFFFF"/>
              <w:ind w:firstLine="317"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1. </w:t>
            </w:r>
            <w:bookmarkStart w:id="4" w:name="_Hlk119344199"/>
            <w:r>
              <w:rPr>
                <w:szCs w:val="28"/>
              </w:rPr>
              <w:t xml:space="preserve">О законодательной инициативе постоянного комитета </w:t>
            </w:r>
            <w:r w:rsidRPr="00701D0B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701D0B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bookmarkEnd w:id="4"/>
            <w:r w:rsidRPr="001C488F">
              <w:rPr>
                <w:szCs w:val="28"/>
              </w:rPr>
              <w:t>«О поддержке проекта федерального закона</w:t>
            </w:r>
            <w:r>
              <w:rPr>
                <w:szCs w:val="28"/>
              </w:rPr>
              <w:t xml:space="preserve">                  </w:t>
            </w:r>
            <w:r w:rsidRPr="001C488F">
              <w:rPr>
                <w:szCs w:val="28"/>
              </w:rPr>
              <w:t xml:space="preserve"> № 353266-8 «О внесении изменений в Кодекс Российской Федерации об административных правонарушениях»</w:t>
            </w:r>
            <w:r>
              <w:rPr>
                <w:sz w:val="27"/>
                <w:szCs w:val="27"/>
              </w:rPr>
              <w:t>.</w:t>
            </w:r>
          </w:p>
          <w:p w:rsidR="007750BB" w:rsidRDefault="007750BB" w:rsidP="007750BB">
            <w:pPr>
              <w:ind w:firstLine="317"/>
              <w:jc w:val="both"/>
              <w:rPr>
                <w:szCs w:val="28"/>
              </w:rPr>
            </w:pPr>
            <w:r w:rsidRPr="00701D0B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B714BA" w:rsidRDefault="00B714BA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B714BA" w:rsidRDefault="00B714B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14BA" w:rsidRDefault="009F4C2D" w:rsidP="009F4C2D">
      <w:pPr>
        <w:ind w:left="426"/>
        <w:rPr>
          <w:b/>
          <w:snapToGrid w:val="0"/>
          <w:szCs w:val="28"/>
        </w:rPr>
      </w:pPr>
      <w:r>
        <w:rPr>
          <w:b/>
          <w:snapToGrid w:val="0"/>
          <w:szCs w:val="28"/>
        </w:rPr>
        <w:t>25 мая</w:t>
      </w:r>
      <w:r w:rsidR="00317FCD">
        <w:rPr>
          <w:b/>
          <w:snapToGrid w:val="0"/>
          <w:szCs w:val="28"/>
        </w:rPr>
        <w:t xml:space="preserve"> </w:t>
      </w:r>
      <w:r w:rsidR="00624CC2">
        <w:rPr>
          <w:b/>
          <w:snapToGrid w:val="0"/>
          <w:szCs w:val="28"/>
        </w:rPr>
        <w:t xml:space="preserve"> </w:t>
      </w:r>
      <w:r w:rsidR="00317FCD">
        <w:rPr>
          <w:b/>
          <w:snapToGrid w:val="0"/>
          <w:szCs w:val="28"/>
        </w:rPr>
        <w:t>2023 – заседание Законодательного Собрания Тверской области</w:t>
      </w:r>
    </w:p>
    <w:p w:rsidR="00B714BA" w:rsidRDefault="00B714B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14BA" w:rsidRDefault="00B714B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14BA" w:rsidRDefault="00B714B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91509" w:rsidRDefault="00D9150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91509" w:rsidRDefault="00D9150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91509" w:rsidRDefault="00D9150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B25DB" w:rsidRDefault="00CB25D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B25DB" w:rsidRDefault="00CB25D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91509" w:rsidRDefault="00D9150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91509" w:rsidRDefault="00D9150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91509" w:rsidRDefault="00D9150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14BA" w:rsidRDefault="00B714B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14BA" w:rsidRDefault="00317FC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комитетов\2023\график май.docx</w:t>
      </w:r>
      <w:r>
        <w:rPr>
          <w:snapToGrid w:val="0"/>
          <w:sz w:val="16"/>
          <w:szCs w:val="28"/>
        </w:rPr>
        <w:fldChar w:fldCharType="end"/>
      </w:r>
    </w:p>
    <w:sectPr w:rsidR="00B714BA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BA" w:rsidRDefault="00317FCD">
      <w:r>
        <w:separator/>
      </w:r>
    </w:p>
  </w:endnote>
  <w:endnote w:type="continuationSeparator" w:id="0">
    <w:p w:rsidR="00B714BA" w:rsidRDefault="003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BA" w:rsidRDefault="00317FCD">
      <w:r>
        <w:separator/>
      </w:r>
    </w:p>
  </w:footnote>
  <w:footnote w:type="continuationSeparator" w:id="0">
    <w:p w:rsidR="00B714BA" w:rsidRDefault="0031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BA" w:rsidRDefault="00317F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4BA" w:rsidRDefault="00B714B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BA" w:rsidRDefault="00317FCD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6C4652">
      <w:rPr>
        <w:noProof/>
        <w:sz w:val="22"/>
      </w:rPr>
      <w:t>3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5"/>
  </w:num>
  <w:num w:numId="4">
    <w:abstractNumId w:val="33"/>
  </w:num>
  <w:num w:numId="5">
    <w:abstractNumId w:val="22"/>
  </w:num>
  <w:num w:numId="6">
    <w:abstractNumId w:val="35"/>
  </w:num>
  <w:num w:numId="7">
    <w:abstractNumId w:val="29"/>
  </w:num>
  <w:num w:numId="8">
    <w:abstractNumId w:val="2"/>
  </w:num>
  <w:num w:numId="9">
    <w:abstractNumId w:val="23"/>
  </w:num>
  <w:num w:numId="10">
    <w:abstractNumId w:val="13"/>
  </w:num>
  <w:num w:numId="11">
    <w:abstractNumId w:val="26"/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1"/>
  </w:num>
  <w:num w:numId="19">
    <w:abstractNumId w:val="5"/>
  </w:num>
  <w:num w:numId="20">
    <w:abstractNumId w:val="31"/>
  </w:num>
  <w:num w:numId="21">
    <w:abstractNumId w:val="9"/>
  </w:num>
  <w:num w:numId="22">
    <w:abstractNumId w:val="1"/>
  </w:num>
  <w:num w:numId="23">
    <w:abstractNumId w:val="27"/>
  </w:num>
  <w:num w:numId="24">
    <w:abstractNumId w:val="28"/>
  </w:num>
  <w:num w:numId="25">
    <w:abstractNumId w:val="14"/>
  </w:num>
  <w:num w:numId="26">
    <w:abstractNumId w:val="30"/>
  </w:num>
  <w:num w:numId="27">
    <w:abstractNumId w:val="18"/>
  </w:num>
  <w:num w:numId="28">
    <w:abstractNumId w:val="16"/>
  </w:num>
  <w:num w:numId="29">
    <w:abstractNumId w:val="21"/>
  </w:num>
  <w:num w:numId="30">
    <w:abstractNumId w:val="8"/>
  </w:num>
  <w:num w:numId="31">
    <w:abstractNumId w:val="20"/>
  </w:num>
  <w:num w:numId="32">
    <w:abstractNumId w:val="17"/>
  </w:num>
  <w:num w:numId="33">
    <w:abstractNumId w:val="34"/>
  </w:num>
  <w:num w:numId="34">
    <w:abstractNumId w:val="32"/>
  </w:num>
  <w:num w:numId="35">
    <w:abstractNumId w:val="3"/>
  </w:num>
  <w:num w:numId="36">
    <w:abstractNumId w:val="4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BA"/>
    <w:rsid w:val="0027451C"/>
    <w:rsid w:val="00282BD6"/>
    <w:rsid w:val="00317FCD"/>
    <w:rsid w:val="00480649"/>
    <w:rsid w:val="00624CC2"/>
    <w:rsid w:val="006C4652"/>
    <w:rsid w:val="006D5024"/>
    <w:rsid w:val="00712B0C"/>
    <w:rsid w:val="007750BB"/>
    <w:rsid w:val="0078253E"/>
    <w:rsid w:val="00792659"/>
    <w:rsid w:val="00831330"/>
    <w:rsid w:val="00945C4C"/>
    <w:rsid w:val="009921D2"/>
    <w:rsid w:val="009F4C2D"/>
    <w:rsid w:val="00B27A59"/>
    <w:rsid w:val="00B33920"/>
    <w:rsid w:val="00B714BA"/>
    <w:rsid w:val="00C916E9"/>
    <w:rsid w:val="00CB25DB"/>
    <w:rsid w:val="00D91509"/>
    <w:rsid w:val="00E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9943-DA00-4AD4-9552-A1C9B9AE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28</cp:revision>
  <cp:lastPrinted>2023-03-13T08:50:00Z</cp:lastPrinted>
  <dcterms:created xsi:type="dcterms:W3CDTF">2023-05-11T07:17:00Z</dcterms:created>
  <dcterms:modified xsi:type="dcterms:W3CDTF">2023-05-30T06:16:00Z</dcterms:modified>
</cp:coreProperties>
</file>